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Evolução e Desafios da Metrologia Ambiental</w:t>
      </w:r>
    </w:p>
    <w:p>
      <w:pPr>
        <w:pStyle w:val="Normal"/>
        <w:spacing w:lineRule="auto" w:line="276"/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  <w:t>Lord Kelvin¹, Charles Keeling², Svante Arrhenius³ e Wile E. Coyote</w:t>
      </w:r>
      <w:r>
        <w:rPr>
          <w:rFonts w:cs="Arial" w:ascii="Arial" w:hAnsi="Arial"/>
          <w:sz w:val="22"/>
          <w:szCs w:val="22"/>
          <w:vertAlign w:val="superscript"/>
          <w:lang w:val="en-US"/>
        </w:rPr>
        <w:t>4</w:t>
      </w:r>
    </w:p>
    <w:p>
      <w:pPr>
        <w:pStyle w:val="Normal"/>
        <w:spacing w:before="0" w:after="0"/>
        <w:jc w:val="both"/>
        <w:rPr>
          <w:rFonts w:ascii="Arial" w:hAnsi="Arial" w:cs="Arial"/>
          <w:i/>
          <w:i/>
          <w:iCs/>
          <w:sz w:val="18"/>
          <w:szCs w:val="18"/>
        </w:rPr>
      </w:pPr>
      <w:r>
        <w:rPr>
          <w:rFonts w:cs="Arial" w:ascii="Arial" w:hAnsi="Arial"/>
          <w:i/>
          <w:iCs/>
          <w:sz w:val="18"/>
          <w:szCs w:val="18"/>
        </w:rPr>
        <w:t xml:space="preserve">¹ Laboratório Nacional de Metrologia Ambiental (LNMA) — kelvin@lnma.gov.br </w:t>
      </w:r>
    </w:p>
    <w:p>
      <w:pPr>
        <w:pStyle w:val="Normal"/>
        <w:spacing w:before="0" w:after="0"/>
        <w:jc w:val="both"/>
        <w:rPr>
          <w:rFonts w:ascii="Arial" w:hAnsi="Arial" w:cs="Arial"/>
          <w:i/>
          <w:i/>
          <w:iCs/>
          <w:sz w:val="18"/>
          <w:szCs w:val="18"/>
        </w:rPr>
      </w:pPr>
      <w:r>
        <w:rPr>
          <w:rFonts w:cs="Arial" w:ascii="Arial" w:hAnsi="Arial"/>
          <w:i/>
          <w:iCs/>
          <w:sz w:val="18"/>
          <w:szCs w:val="18"/>
        </w:rPr>
        <w:t xml:space="preserve">² Rede de Metrologia do Estado de São Paulo (REMESP) — </w:t>
      </w:r>
      <w:hyperlink r:id="rId2">
        <w:r>
          <w:rPr>
            <w:rStyle w:val="LinkdaInternet"/>
            <w:rFonts w:cs="Arial" w:ascii="Arial" w:hAnsi="Arial"/>
            <w:i/>
            <w:iCs/>
            <w:sz w:val="18"/>
            <w:szCs w:val="18"/>
          </w:rPr>
          <w:t>keeling@remesp.org.br</w:t>
        </w:r>
      </w:hyperlink>
      <w:r>
        <w:rPr>
          <w:rFonts w:cs="Arial" w:ascii="Arial" w:hAnsi="Arial"/>
          <w:i/>
          <w:iCs/>
          <w:sz w:val="18"/>
          <w:szCs w:val="18"/>
        </w:rPr>
        <w:t xml:space="preserve"> </w:t>
      </w:r>
    </w:p>
    <w:p>
      <w:pPr>
        <w:pStyle w:val="Normal"/>
        <w:spacing w:before="0" w:after="0"/>
        <w:jc w:val="both"/>
        <w:rPr>
          <w:rFonts w:ascii="Arial" w:hAnsi="Arial" w:cs="Arial"/>
          <w:i/>
          <w:i/>
          <w:iCs/>
          <w:sz w:val="18"/>
          <w:szCs w:val="18"/>
        </w:rPr>
      </w:pPr>
      <w:r>
        <w:rPr>
          <w:rFonts w:cs="Arial" w:ascii="Arial" w:hAnsi="Arial"/>
          <w:i/>
          <w:iCs/>
          <w:sz w:val="18"/>
          <w:szCs w:val="18"/>
        </w:rPr>
        <w:t xml:space="preserve">³ Laboratório Nacional de Metrologia Ambiental (LNMA) — </w:t>
      </w:r>
      <w:hyperlink r:id="rId3">
        <w:r>
          <w:rPr>
            <w:rStyle w:val="LinkdaInternet"/>
            <w:rFonts w:cs="Arial" w:ascii="Arial" w:hAnsi="Arial"/>
            <w:i/>
            <w:iCs/>
            <w:sz w:val="18"/>
            <w:szCs w:val="18"/>
          </w:rPr>
          <w:t>arrhenius@lnma.gov.br</w:t>
        </w:r>
      </w:hyperlink>
      <w:r>
        <w:rPr>
          <w:rFonts w:cs="Arial" w:ascii="Arial" w:hAnsi="Arial"/>
          <w:i/>
          <w:iCs/>
          <w:sz w:val="18"/>
          <w:szCs w:val="18"/>
        </w:rPr>
        <w:t xml:space="preserve"> </w:t>
      </w:r>
    </w:p>
    <w:p>
      <w:pPr>
        <w:pStyle w:val="Normal"/>
        <w:spacing w:before="0" w:after="0"/>
        <w:jc w:val="both"/>
        <w:rPr>
          <w:rFonts w:ascii="Arial" w:hAnsi="Arial" w:cs="Arial"/>
          <w:i/>
          <w:i/>
          <w:iCs/>
          <w:sz w:val="18"/>
          <w:szCs w:val="18"/>
          <w:lang w:val="en-US"/>
        </w:rPr>
      </w:pPr>
      <w:r>
        <w:rPr>
          <w:rFonts w:cs="Arial" w:ascii="Arial" w:hAnsi="Arial"/>
          <w:i/>
          <w:iCs/>
          <w:sz w:val="18"/>
          <w:szCs w:val="18"/>
          <w:vertAlign w:val="superscript"/>
          <w:lang w:val="en-US"/>
        </w:rPr>
        <w:t>4</w:t>
      </w:r>
      <w:r>
        <w:rPr>
          <w:rFonts w:cs="Arial" w:ascii="Arial" w:hAnsi="Arial"/>
          <w:i/>
          <w:iCs/>
          <w:sz w:val="18"/>
          <w:szCs w:val="18"/>
          <w:lang w:val="en-US"/>
        </w:rPr>
        <w:t xml:space="preserve"> ACME Instrumentation &amp; Automation Systems — </w:t>
      </w:r>
      <w:hyperlink r:id="rId4">
        <w:r>
          <w:rPr>
            <w:rStyle w:val="LinkdaInternet"/>
            <w:rFonts w:cs="Arial" w:ascii="Arial" w:hAnsi="Arial"/>
            <w:i/>
            <w:iCs/>
            <w:sz w:val="18"/>
            <w:szCs w:val="18"/>
            <w:lang w:val="en-US"/>
          </w:rPr>
          <w:t>coyote@acme.com</w:t>
        </w:r>
      </w:hyperlink>
    </w:p>
    <w:p>
      <w:pPr>
        <w:pStyle w:val="Normal"/>
        <w:spacing w:before="0" w:after="0"/>
        <w:jc w:val="both"/>
        <w:rPr>
          <w:rFonts w:ascii="Arial" w:hAnsi="Arial" w:cs="Arial"/>
          <w:i/>
          <w:i/>
          <w:iCs/>
          <w:sz w:val="18"/>
          <w:szCs w:val="18"/>
          <w:lang w:val="en-US"/>
        </w:rPr>
      </w:pPr>
      <w:r>
        <w:rPr>
          <w:rFonts w:cs="Arial" w:ascii="Arial" w:hAnsi="Arial"/>
          <w:i/>
          <w:iCs/>
          <w:sz w:val="18"/>
          <w:szCs w:val="18"/>
          <w:lang w:val="en-US"/>
        </w:rPr>
      </w:r>
    </w:p>
    <w:p>
      <w:pPr>
        <w:pStyle w:val="Normal"/>
        <w:spacing w:lineRule="auto" w:line="276"/>
        <w:ind w:left="426" w:right="707" w:hanging="0"/>
        <w:jc w:val="both"/>
        <w:rPr>
          <w:rFonts w:ascii="Arial" w:hAnsi="Arial" w:cs="Arial"/>
          <w:i/>
          <w:i/>
          <w:iCs/>
          <w:sz w:val="19"/>
          <w:szCs w:val="19"/>
        </w:rPr>
      </w:pPr>
      <w:r>
        <w:rPr>
          <w:rFonts w:cs="Arial" w:ascii="Arial" w:hAnsi="Arial"/>
          <w:b/>
          <w:bCs/>
          <w:i/>
          <w:iCs/>
          <w:sz w:val="19"/>
          <w:szCs w:val="19"/>
        </w:rPr>
        <w:t>RESUMO</w:t>
      </w:r>
      <w:r>
        <w:rPr>
          <w:rFonts w:cs="Arial" w:ascii="Arial" w:hAnsi="Arial"/>
          <w:i/>
          <w:iCs/>
          <w:sz w:val="19"/>
          <w:szCs w:val="19"/>
        </w:rPr>
        <w:t xml:space="preserve"> </w:t>
      </w:r>
    </w:p>
    <w:p>
      <w:pPr>
        <w:pStyle w:val="Normal"/>
        <w:spacing w:lineRule="auto" w:line="276" w:before="0" w:after="160"/>
        <w:ind w:left="426" w:right="707" w:hanging="0"/>
        <w:jc w:val="both"/>
        <w:rPr>
          <w:rFonts w:ascii="Arial" w:hAnsi="Arial" w:cs="Arial"/>
          <w:i/>
          <w:i/>
          <w:iCs/>
          <w:sz w:val="19"/>
          <w:szCs w:val="19"/>
        </w:rPr>
      </w:pPr>
      <w:r>
        <w:rPr>
          <w:rFonts w:cs="Arial" w:ascii="Arial" w:hAnsi="Arial"/>
          <w:i/>
          <w:iCs/>
          <w:sz w:val="19"/>
          <w:szCs w:val="19"/>
        </w:rPr>
        <w:t>Este trabalho aborda os desafios da metrologia ambiental, focando na rastreabilidade de variáveis climáticas. Apresenta-se a arquitetura de uma estação meteorológica digital e a estimativa de incerteza de medição na calibração de sensores segundo o ISO GUM. A padronização metrológica é essencial para a confiabilidade de dados ambientais.</w:t>
      </w:r>
    </w:p>
    <w:p>
      <w:pPr>
        <w:pStyle w:val="Normal"/>
        <w:spacing w:lineRule="auto" w:line="276" w:before="0" w:after="160"/>
        <w:ind w:left="426" w:right="707" w:hanging="0"/>
        <w:jc w:val="both"/>
        <w:rPr>
          <w:rFonts w:ascii="Arial" w:hAnsi="Arial" w:cs="Arial"/>
          <w:i/>
          <w:i/>
          <w:iCs/>
          <w:sz w:val="19"/>
          <w:szCs w:val="19"/>
        </w:rPr>
      </w:pPr>
      <w:r>
        <w:rPr>
          <w:rFonts w:cs="Arial" w:ascii="Arial" w:hAnsi="Arial"/>
          <w:b/>
          <w:bCs/>
          <w:i/>
          <w:iCs/>
          <w:sz w:val="19"/>
          <w:szCs w:val="19"/>
        </w:rPr>
        <w:t>Palavras-chave:</w:t>
      </w:r>
      <w:r>
        <w:rPr>
          <w:rFonts w:cs="Arial" w:ascii="Arial" w:hAnsi="Arial"/>
          <w:i/>
          <w:iCs/>
          <w:sz w:val="19"/>
          <w:szCs w:val="19"/>
        </w:rPr>
        <w:t xml:space="preserve"> Metrologia Ambiental, Rastreabilidade, Incerteza de Medição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b/>
          <w:b/>
          <w:bCs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1. INTRODUÇÃO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A metrologia ambiental fundamenta decisões regulatórias e climáticas. A medição de temperatura, umidade, pressão e precipitação exige rastreabilidade ininterrupta ao Sistema Internacional de Unidades (SI), garantindo que variações instrumentais não sejam confundidas com tendências ambientais. Este trabalho sintetiza conceitos </w:t>
      </w:r>
      <w:r>
        <w:rPr>
          <w:rFonts w:cs="Arial" w:ascii="Arial" w:hAnsi="Arial"/>
          <w:sz w:val="21"/>
          <w:szCs w:val="21"/>
        </w:rPr>
        <w:t xml:space="preserve">básicos </w:t>
      </w:r>
      <w:r>
        <w:rPr>
          <w:rFonts w:cs="Arial" w:ascii="Arial" w:hAnsi="Arial"/>
          <w:sz w:val="21"/>
          <w:szCs w:val="21"/>
        </w:rPr>
        <w:t>de aquisição de dados e calibração de sensores.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b/>
          <w:b/>
          <w:bCs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2. ARQUITETURA DE UM SISTEMA DE MONITORAMENTO METEOROLÓGICO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As estações meteorológicas modernas evoluíram de sistemas analógicos e manuais para arquiteturas modulares altamente automatizadas. A confiabilidade do dado ambiental gerado na ponta depende diretamente da robustez da cadeia de sinal, do tratamento do ruído e do consumo energético do sistema.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b/>
          <w:b/>
          <w:bCs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3. AVALIAÇÃO DA INCERTEZA DE MEDIÇÃO NA CALIBRAÇÃO</w:t>
      </w:r>
    </w:p>
    <w:p>
      <w:pPr>
        <w:pStyle w:val="Normal"/>
        <w:spacing w:lineRule="auto" w:line="276" w:before="0" w:after="144"/>
        <w:jc w:val="both"/>
        <w:rPr/>
      </w:pPr>
      <w:r>
        <w:rPr>
          <w:rFonts w:cs="Arial" w:ascii="Arial" w:hAnsi="Arial"/>
          <w:b w:val="false"/>
          <w:bCs w:val="false"/>
          <w:sz w:val="21"/>
          <w:szCs w:val="21"/>
        </w:rPr>
        <w:t xml:space="preserve">Para que os dados gerados pela estação meteorológica tenham validade jurídica e científica, os sensores individuais devem passar por calibrações periódicas em laboratórios acreditados na norma ABNT NBR ISO/IEC 17025. A quantificação da incerteza do resultado de uma medição é realizada segundo o ISO GUM. </w:t>
      </w:r>
      <w:r>
        <w:rPr>
          <w:rFonts w:cs="Arial" w:ascii="Arial" w:hAnsi="Arial"/>
          <w:b w:val="false"/>
          <w:bCs w:val="false"/>
          <w:sz w:val="21"/>
          <w:szCs w:val="21"/>
        </w:rPr>
        <w:t xml:space="preserve">A seguir, discutimos, a título de ilustração </w:t>
      </w:r>
      <w:r>
        <w:rPr>
          <w:rFonts w:cs="Arial" w:ascii="Arial" w:hAnsi="Arial"/>
          <w:b w:val="false"/>
          <w:bCs w:val="false"/>
          <w:sz w:val="21"/>
          <w:szCs w:val="21"/>
        </w:rPr>
        <w:t>a calibração de um sensor de temperatura (termorresistência Pt100) na faixa ambiental de 0 °C a 40 °C. O modelo matemático simplificado para a incerteza de medição (</w:t>
      </w:r>
      <w:r>
        <w:rPr>
          <w:rFonts w:cs="Arial" w:ascii="Arial" w:hAnsi="Arial"/>
          <w:b w:val="false"/>
          <w:bCs w:val="false"/>
          <w:sz w:val="21"/>
          <w:szCs w:val="21"/>
        </w:rPr>
      </w:r>
      <m:oMath xmlns:m="http://schemas.openxmlformats.org/officeDocument/2006/math">
        <m:r>
          <w:rPr>
            <w:rFonts w:ascii="Cambria Math" w:hAnsi="Cambria Math"/>
          </w:rPr>
          <m:t xml:space="preserve">E</m:t>
        </m:r>
      </m:oMath>
      <w:r>
        <w:rPr>
          <w:rFonts w:cs="Arial" w:ascii="Arial" w:hAnsi="Arial"/>
          <w:b w:val="false"/>
          <w:bCs w:val="false"/>
          <w:sz w:val="21"/>
          <w:szCs w:val="21"/>
        </w:rPr>
        <w:t xml:space="preserve">) é dado por:  </w:t>
      </w:r>
      <w:r>
        <w:rPr>
          <w:rFonts w:cs="Arial" w:ascii="Arial" w:hAnsi="Arial"/>
          <w:b w:val="false"/>
          <w:bCs w:val="false"/>
          <w:sz w:val="21"/>
          <w:szCs w:val="21"/>
        </w:rPr>
      </w:r>
      <m:oMath xmlns:m="http://schemas.openxmlformats.org/officeDocument/2006/math">
        <m:r>
          <w:rPr>
            <w:rFonts w:ascii="Cambria Math" w:hAnsi="Cambria Math"/>
          </w:rPr>
          <m:t xml:space="preserve">E</m:t>
        </m:r>
        <m:r>
          <w:rPr>
            <w:rFonts w:ascii="Cambria Math" w:hAnsi="Cambria Math"/>
          </w:rPr>
          <m:t xml:space="preserve">=</m:t>
        </m:r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indicado</m:t>
            </m:r>
          </m:sub>
        </m:sSub>
        <m:r>
          <w:rPr>
            <w:rFonts w:ascii="Cambria Math" w:hAnsi="Cambria Math"/>
          </w:rPr>
          <m:t xml:space="preserve">−</m:t>
        </m:r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referencia</m:t>
            </m:r>
          </m:sub>
        </m:sSub>
        <m:r>
          <w:rPr>
            <w:rFonts w:ascii="Cambria Math" w:hAnsi="Cambria Math"/>
          </w:rPr>
          <m:t xml:space="preserve">+</m:t>
        </m:r>
        <m:r>
          <w:rPr>
            <w:rFonts w:ascii="Cambria Math" w:hAnsi="Cambria Math"/>
          </w:rPr>
          <m:t xml:space="preserve">δ</m:t>
        </m:r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resolucao</m:t>
            </m:r>
          </m:sub>
        </m:sSub>
        <m:r>
          <w:rPr>
            <w:rFonts w:ascii="Cambria Math" w:hAnsi="Cambria Math"/>
          </w:rPr>
          <m:t xml:space="preserve">+</m:t>
        </m:r>
        <m:r>
          <w:rPr>
            <w:rFonts w:ascii="Cambria Math" w:hAnsi="Cambria Math"/>
          </w:rPr>
          <m:t xml:space="preserve">δ</m:t>
        </m:r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deriva</m:t>
            </m:r>
          </m:sub>
        </m:sSub>
      </m:oMath>
      <w:r>
        <w:rPr>
          <w:rFonts w:cs="Arial" w:ascii="Arial" w:hAnsi="Arial"/>
          <w:b w:val="false"/>
          <w:bCs w:val="false"/>
          <w:sz w:val="21"/>
          <w:szCs w:val="21"/>
        </w:rPr>
        <w:t xml:space="preserve">, </w:t>
      </w:r>
      <w:r>
        <w:rPr>
          <w:rFonts w:cs="Arial" w:ascii="Arial" w:hAnsi="Arial"/>
          <w:b w:val="false"/>
          <w:bCs w:val="false"/>
          <w:sz w:val="21"/>
          <w:szCs w:val="21"/>
        </w:rPr>
        <w:t>on</w:t>
      </w:r>
      <w:r>
        <w:rPr>
          <w:rFonts w:cs="Arial" w:ascii="Arial" w:hAnsi="Arial"/>
          <w:b w:val="false"/>
          <w:bCs w:val="false"/>
          <w:sz w:val="21"/>
          <w:szCs w:val="21"/>
        </w:rPr>
        <w:t xml:space="preserve">de </w:t>
      </w:r>
      <w:r>
        <w:rPr>
          <w:rFonts w:cs="Arial" w:ascii="Arial" w:hAnsi="Arial"/>
          <w:b w:val="false"/>
          <w:bCs w:val="false"/>
          <w:sz w:val="21"/>
          <w:szCs w:val="21"/>
        </w:rPr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indicado</m:t>
            </m:r>
          </m:sub>
        </m:sSub>
      </m:oMath>
      <w:r>
        <w:rPr>
          <w:rFonts w:cs="Arial" w:ascii="Arial" w:hAnsi="Arial"/>
          <w:b w:val="false"/>
          <w:bCs w:val="false"/>
          <w:sz w:val="21"/>
          <w:szCs w:val="21"/>
        </w:rPr>
        <w:t xml:space="preserve"> é a leitura do sensor em teste, </w:t>
      </w:r>
      <w:r>
        <w:rPr>
          <w:rFonts w:cs="Arial" w:ascii="Arial" w:hAnsi="Arial"/>
          <w:b w:val="false"/>
          <w:bCs w:val="false"/>
          <w:sz w:val="21"/>
          <w:szCs w:val="21"/>
        </w:rPr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referencia</m:t>
            </m:r>
          </m:sub>
        </m:sSub>
      </m:oMath>
      <w:r>
        <w:rPr>
          <w:rFonts w:cs="Arial" w:ascii="Arial" w:hAnsi="Arial"/>
          <w:b w:val="false"/>
          <w:bCs w:val="false"/>
          <w:sz w:val="21"/>
          <w:szCs w:val="21"/>
        </w:rPr>
        <w:t xml:space="preserve"> é o valor gerado pelo padrão primário, </w:t>
      </w:r>
      <w:r>
        <w:rPr>
          <w:rFonts w:cs="Arial" w:ascii="Arial" w:hAnsi="Arial"/>
          <w:b w:val="false"/>
          <w:bCs w:val="false"/>
          <w:sz w:val="21"/>
          <w:szCs w:val="21"/>
        </w:rPr>
      </w:r>
      <m:oMath xmlns:m="http://schemas.openxmlformats.org/officeDocument/2006/math">
        <m:r>
          <w:rPr>
            <w:rFonts w:ascii="Cambria Math" w:hAnsi="Cambria Math"/>
          </w:rPr>
          <m:t xml:space="preserve">δ</m:t>
        </m:r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resolucao</m:t>
            </m:r>
          </m:sub>
        </m:sSub>
      </m:oMath>
      <w:r>
        <w:rPr>
          <w:rFonts w:cs="Arial" w:ascii="Arial" w:hAnsi="Arial"/>
          <w:b w:val="false"/>
          <w:bCs w:val="false"/>
          <w:sz w:val="21"/>
          <w:szCs w:val="21"/>
        </w:rPr>
        <w:t xml:space="preserve"> é a correção pela resolução do indicador e </w:t>
      </w:r>
      <w:r>
        <w:rPr>
          <w:rFonts w:cs="Arial" w:ascii="Arial" w:hAnsi="Arial"/>
          <w:b w:val="false"/>
          <w:bCs w:val="false"/>
          <w:sz w:val="21"/>
          <w:szCs w:val="21"/>
        </w:rPr>
      </w:r>
      <m:oMath xmlns:m="http://schemas.openxmlformats.org/officeDocument/2006/math">
        <m:r>
          <w:rPr>
            <w:rFonts w:ascii="Cambria Math" w:hAnsi="Cambria Math"/>
          </w:rPr>
          <m:t xml:space="preserve">δ</m:t>
        </m:r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deriva</m:t>
            </m:r>
          </m:sub>
        </m:sSub>
      </m:oMath>
      <w:r>
        <w:rPr>
          <w:rFonts w:cs="Arial" w:ascii="Arial" w:hAnsi="Arial"/>
          <w:b w:val="false"/>
          <w:bCs w:val="false"/>
          <w:sz w:val="21"/>
          <w:szCs w:val="21"/>
        </w:rPr>
        <w:t xml:space="preserve"> é a deriva temporal estimada do padrão. </w:t>
      </w:r>
    </w:p>
    <w:p>
      <w:pPr>
        <w:pStyle w:val="Normal"/>
        <w:spacing w:lineRule="auto" w:line="276" w:before="0" w:after="144"/>
        <w:jc w:val="center"/>
        <w:rPr>
          <w:rFonts w:ascii="Arial" w:hAnsi="Arial" w:cs="Arial"/>
          <w:sz w:val="19"/>
          <w:szCs w:val="19"/>
        </w:rPr>
      </w:pPr>
      <w:r>
        <w:rPr>
          <w:rFonts w:cs="Arial" w:ascii="Arial" w:hAnsi="Arial"/>
          <w:b/>
          <w:bCs/>
          <w:sz w:val="19"/>
          <w:szCs w:val="19"/>
        </w:rPr>
        <w:t>Tabela 1.</w:t>
      </w:r>
      <w:r>
        <w:rPr>
          <w:rFonts w:cs="Arial" w:ascii="Arial" w:hAnsi="Arial"/>
          <w:sz w:val="19"/>
          <w:szCs w:val="19"/>
        </w:rPr>
        <w:t xml:space="preserve"> Balanço de incerteza de medição para calibração de sensor de temperatura a 25 °C.</w:t>
      </w:r>
    </w:p>
    <w:tbl>
      <w:tblPr>
        <w:tblStyle w:val="TabelaSimples2"/>
        <w:tblW w:w="9750" w:type="dxa"/>
        <w:jc w:val="left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1755"/>
        <w:gridCol w:w="1111"/>
        <w:gridCol w:w="1287"/>
        <w:gridCol w:w="832"/>
        <w:gridCol w:w="1110"/>
        <w:gridCol w:w="1418"/>
        <w:gridCol w:w="1166"/>
        <w:gridCol w:w="107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Fonte de incerteza (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lang w:val="pt-BR" w:eastAsia="en-US" w:bidi="ar-SA"/>
              </w:rPr>
              <w:t>x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vertAlign w:val="subscript"/>
                <w:lang w:val="pt-BR" w:eastAsia="en-US" w:bidi="ar-SA"/>
              </w:rPr>
              <w:t>i</w:t>
            </w: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)</w:t>
            </w:r>
          </w:p>
        </w:tc>
        <w:tc>
          <w:tcPr>
            <w:tcW w:w="111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Valor Estimado</w:t>
            </w:r>
          </w:p>
          <w:p>
            <w:pPr>
              <w:pStyle w:val="Normal"/>
              <w:widowControl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/ (</w:t>
            </w: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vertAlign w:val="superscript"/>
                <w:lang w:val="pt-BR" w:eastAsia="en-US" w:bidi="ar-SA"/>
              </w:rPr>
              <w:t>o</w:t>
            </w: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C)</w:t>
            </w:r>
          </w:p>
        </w:tc>
        <w:tc>
          <w:tcPr>
            <w:tcW w:w="128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Distribuição de Probabilidade</w:t>
            </w:r>
          </w:p>
        </w:tc>
        <w:tc>
          <w:tcPr>
            <w:tcW w:w="83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Divisor</w:t>
            </w:r>
          </w:p>
        </w:tc>
        <w:tc>
          <w:tcPr>
            <w:tcW w:w="111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 xml:space="preserve">Incerteza- Padrão 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lang w:val="pt-BR" w:eastAsia="en-US" w:bidi="ar-SA"/>
              </w:rPr>
              <w:t>u(x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vertAlign w:val="subscript"/>
                <w:lang w:val="pt-BR" w:eastAsia="en-US" w:bidi="ar-SA"/>
              </w:rPr>
              <w:t>i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lang w:val="pt-BR" w:eastAsia="en-US" w:bidi="ar-SA"/>
              </w:rPr>
              <w:t>)</w:t>
            </w: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 xml:space="preserve"> (</w:t>
            </w: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vertAlign w:val="superscript"/>
                <w:lang w:val="pt-BR" w:eastAsia="en-US" w:bidi="ar-SA"/>
              </w:rPr>
              <w:t>o</w:t>
            </w: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C)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 xml:space="preserve">Coeficiente de Sensibilidade 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lang w:val="pt-BR" w:eastAsia="en-US" w:bidi="ar-SA"/>
              </w:rPr>
              <w:t>c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vertAlign w:val="subscript"/>
                <w:lang w:val="pt-BR" w:eastAsia="en-US" w:bidi="ar-SA"/>
              </w:rPr>
              <w:t>i</w:t>
            </w:r>
          </w:p>
        </w:tc>
        <w:tc>
          <w:tcPr>
            <w:tcW w:w="116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 xml:space="preserve">Contribuição 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lang w:val="pt-BR" w:eastAsia="en-US" w:bidi="ar-SA"/>
              </w:rPr>
              <w:t>u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vertAlign w:val="subscript"/>
                <w:lang w:val="pt-BR" w:eastAsia="en-US" w:bidi="ar-SA"/>
              </w:rPr>
              <w:t>i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lang w:val="pt-BR" w:eastAsia="en-US" w:bidi="ar-SA"/>
              </w:rPr>
              <w:t xml:space="preserve">(y) </w:t>
            </w: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 xml:space="preserve"> (</w:t>
            </w: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vertAlign w:val="superscript"/>
                <w:lang w:val="pt-BR" w:eastAsia="en-US" w:bidi="ar-SA"/>
              </w:rPr>
              <w:t>o</w:t>
            </w: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C)</w:t>
            </w:r>
          </w:p>
        </w:tc>
        <w:tc>
          <w:tcPr>
            <w:tcW w:w="10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Coeficiente de Kessel</w:t>
            </w:r>
          </w:p>
          <w:p>
            <w:pPr>
              <w:pStyle w:val="Normal"/>
              <w:widowControl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(%)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5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Calibração do Padrão</w:t>
            </w:r>
          </w:p>
        </w:tc>
        <w:tc>
          <w:tcPr>
            <w:tcW w:w="111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0,015</w:t>
            </w:r>
          </w:p>
        </w:tc>
        <w:tc>
          <w:tcPr>
            <w:tcW w:w="128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Normal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2,00</w:t>
            </w:r>
          </w:p>
        </w:tc>
        <w:tc>
          <w:tcPr>
            <w:tcW w:w="111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0,0075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1,0</w:t>
            </w:r>
          </w:p>
        </w:tc>
        <w:tc>
          <w:tcPr>
            <w:tcW w:w="116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0,0075</w:t>
            </w:r>
          </w:p>
        </w:tc>
        <w:tc>
          <w:tcPr>
            <w:tcW w:w="107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30</w:t>
            </w:r>
          </w:p>
        </w:tc>
      </w:tr>
      <w:tr>
        <w:trPr/>
        <w:tc>
          <w:tcPr>
            <w:tcW w:w="175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Repetibilidade</w:t>
            </w:r>
          </w:p>
        </w:tc>
        <w:tc>
          <w:tcPr>
            <w:tcW w:w="111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0,0080</w:t>
            </w:r>
          </w:p>
        </w:tc>
        <w:tc>
          <w:tcPr>
            <w:tcW w:w="128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Normal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1,00</w:t>
            </w:r>
          </w:p>
        </w:tc>
        <w:tc>
          <w:tcPr>
            <w:tcW w:w="111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0,0080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1,0</w:t>
            </w:r>
          </w:p>
        </w:tc>
        <w:tc>
          <w:tcPr>
            <w:tcW w:w="116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0,0080</w:t>
            </w:r>
          </w:p>
        </w:tc>
        <w:tc>
          <w:tcPr>
            <w:tcW w:w="107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34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5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Resolução</w:t>
            </w:r>
          </w:p>
        </w:tc>
        <w:tc>
          <w:tcPr>
            <w:tcW w:w="111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0,010</w:t>
            </w:r>
          </w:p>
        </w:tc>
        <w:tc>
          <w:tcPr>
            <w:tcW w:w="128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Retangular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r>
            <m:oMathPara xmlns:m="http://schemas.openxmlformats.org/officeDocument/2006/math">
              <m:oMathParaPr>
                <m:jc m:val="center"/>
              </m:oMathParaPr>
              <m:oMath>
                <m:rad>
                  <m:radPr>
                    <m:degHide m:val="1"/>
                  </m:radPr>
                  <m:deg/>
                  <m:e>
                    <m:r>
                      <w:rPr>
                        <w:rFonts w:ascii="Cambria Math" w:hAnsi="Cambria Math"/>
                      </w:rPr>
                      <m:t xml:space="preserve">3</m:t>
                    </m:r>
                  </m:e>
                </m:rad>
              </m:oMath>
            </m:oMathPara>
          </w:p>
        </w:tc>
        <w:tc>
          <w:tcPr>
            <w:tcW w:w="111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0,0058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1,0</w:t>
            </w:r>
          </w:p>
        </w:tc>
        <w:tc>
          <w:tcPr>
            <w:tcW w:w="116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0,0058</w:t>
            </w:r>
          </w:p>
        </w:tc>
        <w:tc>
          <w:tcPr>
            <w:tcW w:w="107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18</w:t>
            </w:r>
          </w:p>
        </w:tc>
      </w:tr>
      <w:tr>
        <w:trPr/>
        <w:tc>
          <w:tcPr>
            <w:tcW w:w="175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Estabilidade Térmica</w:t>
            </w:r>
          </w:p>
        </w:tc>
        <w:tc>
          <w:tcPr>
            <w:tcW w:w="111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0,012</w:t>
            </w:r>
          </w:p>
        </w:tc>
        <w:tc>
          <w:tcPr>
            <w:tcW w:w="128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Retangular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r>
            <m:oMathPara xmlns:m="http://schemas.openxmlformats.org/officeDocument/2006/math">
              <m:oMathParaPr>
                <m:jc m:val="center"/>
              </m:oMathParaPr>
              <m:oMath>
                <m:rad>
                  <m:radPr>
                    <m:degHide m:val="1"/>
                  </m:radPr>
                  <m:deg/>
                  <m:e>
                    <m:r>
                      <w:rPr>
                        <w:rFonts w:ascii="Cambria Math" w:hAnsi="Cambria Math"/>
                      </w:rPr>
                      <m:t xml:space="preserve">3</m:t>
                    </m:r>
                  </m:e>
                </m:rad>
              </m:oMath>
            </m:oMathPara>
          </w:p>
        </w:tc>
        <w:tc>
          <w:tcPr>
            <w:tcW w:w="111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0,0069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1,0</w:t>
            </w:r>
          </w:p>
        </w:tc>
        <w:tc>
          <w:tcPr>
            <w:tcW w:w="116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0,0069</w:t>
            </w:r>
          </w:p>
        </w:tc>
        <w:tc>
          <w:tcPr>
            <w:tcW w:w="107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25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5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>Deriva</w:t>
            </w:r>
          </w:p>
        </w:tc>
        <w:tc>
          <w:tcPr>
            <w:tcW w:w="111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0,005</w:t>
            </w:r>
          </w:p>
        </w:tc>
        <w:tc>
          <w:tcPr>
            <w:tcW w:w="128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Retangular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r>
            <m:oMathPara xmlns:m="http://schemas.openxmlformats.org/officeDocument/2006/math">
              <m:oMathParaPr>
                <m:jc m:val="center"/>
              </m:oMathParaPr>
              <m:oMath>
                <m:rad>
                  <m:radPr>
                    <m:degHide m:val="1"/>
                  </m:radPr>
                  <m:deg/>
                  <m:e>
                    <m:r>
                      <w:rPr>
                        <w:rFonts w:ascii="Cambria Math" w:hAnsi="Cambria Math"/>
                      </w:rPr>
                      <m:t xml:space="preserve">3</m:t>
                    </m:r>
                  </m:e>
                </m:rad>
              </m:oMath>
            </m:oMathPara>
          </w:p>
        </w:tc>
        <w:tc>
          <w:tcPr>
            <w:tcW w:w="111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0,0029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1,0</w:t>
            </w:r>
          </w:p>
        </w:tc>
        <w:tc>
          <w:tcPr>
            <w:tcW w:w="116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0,0029</w:t>
            </w:r>
          </w:p>
        </w:tc>
        <w:tc>
          <w:tcPr>
            <w:tcW w:w="107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4,4</w:t>
            </w:r>
          </w:p>
        </w:tc>
      </w:tr>
      <w:tr>
        <w:trPr/>
        <w:tc>
          <w:tcPr>
            <w:tcW w:w="175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 xml:space="preserve">Incerteza-padrão combinada 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lang w:val="pt-BR" w:eastAsia="en-US" w:bidi="ar-SA"/>
              </w:rPr>
              <w:t>u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vertAlign w:val="subscript"/>
                <w:lang w:val="pt-BR" w:eastAsia="en-US" w:bidi="ar-SA"/>
              </w:rPr>
              <w:t>c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lang w:val="pt-BR" w:eastAsia="en-US" w:bidi="ar-SA"/>
              </w:rPr>
              <w:t>(y)</w:t>
            </w:r>
          </w:p>
        </w:tc>
        <w:tc>
          <w:tcPr>
            <w:tcW w:w="111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-</w:t>
            </w:r>
          </w:p>
        </w:tc>
        <w:tc>
          <w:tcPr>
            <w:tcW w:w="128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Normal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-</w:t>
            </w:r>
          </w:p>
        </w:tc>
        <w:tc>
          <w:tcPr>
            <w:tcW w:w="111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-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-</w:t>
            </w:r>
          </w:p>
        </w:tc>
        <w:tc>
          <w:tcPr>
            <w:tcW w:w="116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0,0138</w:t>
            </w:r>
          </w:p>
        </w:tc>
        <w:tc>
          <w:tcPr>
            <w:tcW w:w="107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100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55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Aptos"/>
                <w:b w:val="false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b w:val="false"/>
                <w:bCs w:val="false"/>
                <w:kern w:val="2"/>
                <w:sz w:val="17"/>
                <w:szCs w:val="17"/>
                <w:lang w:val="pt-BR" w:eastAsia="en-US" w:bidi="ar-SA"/>
              </w:rPr>
              <w:t xml:space="preserve">Incerteza Expandida </w:t>
            </w:r>
            <w:r>
              <w:rPr>
                <w:rFonts w:eastAsia="Aptos" w:cs="Arial" w:ascii="Arial" w:hAnsi="Arial"/>
                <w:b w:val="false"/>
                <w:bCs w:val="false"/>
                <w:i/>
                <w:iCs/>
                <w:kern w:val="2"/>
                <w:sz w:val="17"/>
                <w:szCs w:val="17"/>
                <w:lang w:val="pt-BR" w:eastAsia="en-US" w:bidi="ar-SA"/>
              </w:rPr>
              <w:t>U(k=2)</w:t>
            </w:r>
          </w:p>
        </w:tc>
        <w:tc>
          <w:tcPr>
            <w:tcW w:w="111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-</w:t>
            </w:r>
          </w:p>
        </w:tc>
        <w:tc>
          <w:tcPr>
            <w:tcW w:w="128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Normal</w:t>
            </w:r>
          </w:p>
        </w:tc>
        <w:tc>
          <w:tcPr>
            <w:tcW w:w="83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-</w:t>
            </w:r>
          </w:p>
        </w:tc>
        <w:tc>
          <w:tcPr>
            <w:tcW w:w="1110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-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-</w:t>
            </w:r>
          </w:p>
        </w:tc>
        <w:tc>
          <w:tcPr>
            <w:tcW w:w="116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  <w:t>0,028</w:t>
            </w:r>
          </w:p>
        </w:tc>
        <w:tc>
          <w:tcPr>
            <w:tcW w:w="1071" w:type="dxa"/>
            <w:tcBorders>
              <w:top w:val="nil"/>
            </w:tcBorders>
          </w:tcPr>
          <w:p>
            <w:pPr>
              <w:pStyle w:val="Normal"/>
              <w:widowControl/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Aptos" w:cs="Arial"/>
                <w:kern w:val="2"/>
                <w:sz w:val="17"/>
                <w:szCs w:val="17"/>
                <w:lang w:val="pt-BR" w:eastAsia="en-US" w:bidi="ar-SA"/>
              </w:rPr>
            </w:pPr>
            <w:r>
              <w:rPr>
                <w:rFonts w:eastAsia="Aptos" w:cs="Arial" w:ascii="Arial" w:hAnsi="Arial"/>
                <w:kern w:val="2"/>
                <w:sz w:val="17"/>
                <w:szCs w:val="17"/>
                <w:lang w:val="pt-BR" w:eastAsia="en-US" w:bidi="ar-SA"/>
              </w:rPr>
            </w:r>
          </w:p>
        </w:tc>
      </w:tr>
    </w:tbl>
    <w:p>
      <w:pPr>
        <w:pStyle w:val="Normal"/>
        <w:spacing w:lineRule="auto" w:line="276" w:before="0" w:after="144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A Tabela 1 sintetiza o balanço típico de incerteza de medição para o ponto de calibração nominal em 25 °C, utilizando um fator de abrangência 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k</m:t>
        </m:r>
        <m:r>
          <w:rPr>
            <w:rFonts w:ascii="Cambria Math" w:hAnsi="Cambria Math"/>
          </w:rPr>
          <m:t xml:space="preserve">=</m:t>
        </m:r>
        <m:r>
          <w:rPr>
            <w:rFonts w:ascii="Cambria Math" w:hAnsi="Cambria Math"/>
          </w:rPr>
          <m:t xml:space="preserve">2</m:t>
        </m:r>
        <m:r>
          <w:rPr>
            <w:rFonts w:ascii="Cambria Math" w:hAnsi="Cambria Math"/>
          </w:rPr>
          <m:t xml:space="preserve">,</m:t>
        </m:r>
        <m:r>
          <w:rPr>
            <w:rFonts w:ascii="Cambria Math" w:hAnsi="Cambria Math"/>
          </w:rPr>
          <m:t xml:space="preserve">0</m:t>
        </m:r>
      </m:oMath>
      <w:r>
        <w:rPr>
          <w:rFonts w:cs="Arial" w:ascii="Arial" w:hAnsi="Arial"/>
          <w:sz w:val="21"/>
          <w:szCs w:val="21"/>
        </w:rPr>
        <w:t xml:space="preserve"> para uma probabilidade de abrangência de aproximadamente 95,45%. O coeficiente de Kessel, </w:t>
      </w:r>
      <w:r>
        <w:rPr>
          <w:rFonts w:cs="Arial" w:ascii="Arial" w:hAnsi="Arial"/>
          <w:sz w:val="21"/>
          <w:szCs w:val="21"/>
        </w:rPr>
        <w:t>por sua vez,</w:t>
      </w:r>
      <w:r>
        <w:rPr>
          <w:rFonts w:cs="Arial" w:ascii="Arial" w:hAnsi="Arial"/>
          <w:sz w:val="21"/>
          <w:szCs w:val="21"/>
        </w:rPr>
        <w:t xml:space="preserve"> </w:t>
      </w:r>
      <w:r>
        <w:rPr>
          <w:rFonts w:cs="Arial" w:ascii="Arial" w:hAnsi="Arial"/>
          <w:sz w:val="21"/>
          <w:szCs w:val="21"/>
        </w:rPr>
        <w:t>pode ser</w:t>
      </w:r>
      <w:r>
        <w:rPr>
          <w:rFonts w:cs="Arial" w:ascii="Arial" w:hAnsi="Arial"/>
          <w:sz w:val="21"/>
          <w:szCs w:val="21"/>
        </w:rPr>
        <w:t xml:space="preserve"> determinado pela Equação (1).</w:t>
      </w:r>
    </w:p>
    <w:p>
      <w:pPr>
        <w:pStyle w:val="Normal"/>
        <w:spacing w:lineRule="auto" w:line="276" w:before="0" w:after="144"/>
        <w:jc w:val="center"/>
        <w:rPr>
          <w:rFonts w:ascii="Arial" w:hAnsi="Arial" w:cs="Arial"/>
          <w:sz w:val="21"/>
          <w:szCs w:val="21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h</m:t>
        </m:r>
        <m:d>
          <m:dPr>
            <m:begChr m:val="("/>
            <m:endChr m:val=")"/>
          </m:dPr>
          <m:e>
            <m:r>
              <w:rPr>
                <w:rFonts w:ascii="Cambria Math" w:hAnsi="Cambria Math"/>
              </w:rPr>
              <m:t xml:space="preserve">y</m:t>
            </m:r>
            <m:r>
              <w:rPr>
                <w:rFonts w:ascii="Cambria Math" w:hAnsi="Cambria Math"/>
              </w:rPr>
              <m:t xml:space="preserve">,</m:t>
            </m:r>
            <m:sSub>
              <m:e>
                <m:r>
                  <w:rPr>
                    <w:rFonts w:ascii="Cambria Math" w:hAnsi="Cambria Math"/>
                  </w:rPr>
                  <m:t xml:space="preserve">x</m:t>
                </m:r>
              </m:e>
              <m:sub>
                <m:r>
                  <w:rPr>
                    <w:rFonts w:ascii="Cambria Math" w:hAnsi="Cambria Math"/>
                  </w:rPr>
                  <m:t xml:space="preserve">i</m:t>
                </m:r>
              </m:sub>
            </m:sSub>
          </m:e>
        </m:d>
        <m:r>
          <w:rPr>
            <w:rFonts w:ascii="Cambria Math" w:hAnsi="Cambria Math"/>
          </w:rPr>
          <m:t xml:space="preserve">=</m:t>
        </m:r>
        <m:sSup>
          <m:e>
            <m:d>
              <m:dPr>
                <m:begChr m:val="["/>
                <m:endChr m:val="]"/>
              </m:dPr>
              <m:e>
                <m:f>
                  <m:num>
                    <m:sSub>
                      <m:e>
                        <m:r>
                          <w:rPr>
                            <w:rFonts w:ascii="Cambria Math" w:hAnsi="Cambria Math"/>
                          </w:rPr>
                          <m:t xml:space="preserve"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 xml:space="preserve">i</m:t>
                        </m:r>
                      </m:sub>
                    </m:sSub>
                    <m:d>
                      <m:dPr>
                        <m:begChr m:val="("/>
                        <m:endChr m:val=")"/>
                      </m:dPr>
                      <m:e>
                        <m:r>
                          <w:rPr>
                            <w:rFonts w:ascii="Cambria Math" w:hAnsi="Cambria Math"/>
                          </w:rPr>
                          <m:t xml:space="preserve">y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</w:rPr>
                      <m:t xml:space="preserve">u</m:t>
                    </m:r>
                    <m:d>
                      <m:dPr>
                        <m:begChr m:val="("/>
                        <m:endChr m:val=")"/>
                      </m:dPr>
                      <m:e>
                        <m:r>
                          <w:rPr>
                            <w:rFonts w:ascii="Cambria Math" w:hAnsi="Cambria Math"/>
                          </w:rPr>
                          <m:t xml:space="preserve">y</m:t>
                        </m:r>
                      </m:e>
                    </m:d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 xml:space="preserve">2</m:t>
            </m:r>
          </m:sup>
        </m:sSup>
        <m:r>
          <w:rPr>
            <w:rFonts w:ascii="Cambria Math" w:hAnsi="Cambria Math"/>
          </w:rPr>
          <m:t xml:space="preserve">=</m:t>
        </m:r>
        <m:sSup>
          <m:e>
            <m:d>
              <m:dPr>
                <m:begChr m:val="["/>
                <m:endChr m:val="]"/>
              </m:dPr>
              <m:e>
                <m:f>
                  <m:num>
                    <m:sSub>
                      <m:e>
                        <m:r>
                          <w:rPr>
                            <w:rFonts w:ascii="Cambria Math" w:hAnsi="Cambria Math"/>
                          </w:rPr>
                          <m:t xml:space="preserve"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 xml:space="preserve">i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 xml:space="preserve">.</m:t>
                    </m:r>
                    <m:r>
                      <w:rPr>
                        <w:rFonts w:ascii="Cambria Math" w:hAnsi="Cambria Math"/>
                      </w:rPr>
                      <m:t xml:space="preserve">u</m:t>
                    </m:r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 xml:space="preserve">i</m:t>
                            </m:r>
                          </m:sub>
                        </m:sSub>
                      </m:e>
                    </m:d>
                  </m:num>
                  <m:den>
                    <m:r>
                      <w:rPr>
                        <w:rFonts w:ascii="Cambria Math" w:hAnsi="Cambria Math"/>
                      </w:rPr>
                      <m:t xml:space="preserve">u</m:t>
                    </m:r>
                    <m:d>
                      <m:dPr>
                        <m:begChr m:val="("/>
                        <m:endChr m:val=")"/>
                      </m:dPr>
                      <m:e>
                        <m:r>
                          <w:rPr>
                            <w:rFonts w:ascii="Cambria Math" w:hAnsi="Cambria Math"/>
                          </w:rPr>
                          <m:t xml:space="preserve">y</m:t>
                        </m:r>
                      </m:e>
                    </m:d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 xml:space="preserve">2</m:t>
            </m:r>
          </m:sup>
        </m:sSup>
      </m:oMath>
      <w:r>
        <w:rPr>
          <w:rFonts w:eastAsia="" w:cs="Arial" w:ascii="Arial" w:hAnsi="Arial" w:eastAsiaTheme="minorEastAsia"/>
          <w:sz w:val="21"/>
          <w:szCs w:val="21"/>
        </w:rPr>
        <w:tab/>
        <w:tab/>
        <w:tab/>
        <w:t>(1)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A</w:t>
      </w:r>
      <w:r>
        <w:rPr>
          <w:rFonts w:cs="Arial" w:ascii="Arial" w:hAnsi="Arial"/>
          <w:sz w:val="21"/>
          <w:szCs w:val="21"/>
        </w:rPr>
        <w:t xml:space="preserve"> maior contribuição para a incerteza expandida </w:t>
      </w:r>
      <w:r>
        <w:rPr>
          <w:rFonts w:cs="Arial" w:ascii="Arial" w:hAnsi="Arial"/>
          <w:sz w:val="21"/>
          <w:szCs w:val="21"/>
        </w:rPr>
        <w:t xml:space="preserve">(Tabela 1) </w:t>
      </w:r>
      <w:r>
        <w:rPr>
          <w:rFonts w:cs="Arial" w:ascii="Arial" w:hAnsi="Arial"/>
          <w:sz w:val="21"/>
          <w:szCs w:val="21"/>
        </w:rPr>
        <w:t xml:space="preserve">origina-se da combinação entre a repetibilidade do sensor e a incerteza do padrão de referência </w:t>
      </w:r>
      <w:r>
        <w:rPr>
          <w:rFonts w:cs="Arial" w:ascii="Arial" w:hAnsi="Arial"/>
          <w:sz w:val="21"/>
          <w:szCs w:val="21"/>
        </w:rPr>
        <w:t>(</w:t>
      </w:r>
      <w:r>
        <w:rPr>
          <w:rFonts w:cs="Arial" w:ascii="Arial" w:hAnsi="Arial"/>
          <w:sz w:val="21"/>
          <w:szCs w:val="21"/>
        </w:rPr>
        <w:t>Figuras</w:t>
      </w:r>
      <w:r>
        <w:rPr>
          <w:rFonts w:cs="Arial" w:ascii="Arial" w:hAnsi="Arial"/>
          <w:sz w:val="21"/>
          <w:szCs w:val="21"/>
        </w:rPr>
        <w:t xml:space="preserve"> 1 (a) e (b)</w:t>
      </w:r>
      <w:r>
        <w:rPr>
          <w:rFonts w:cs="Arial" w:ascii="Arial" w:hAnsi="Arial"/>
          <w:sz w:val="21"/>
          <w:szCs w:val="21"/>
        </w:rPr>
        <w:t>)</w:t>
      </w:r>
      <w:r>
        <w:rPr>
          <w:rFonts w:cs="Arial" w:ascii="Arial" w:hAnsi="Arial"/>
          <w:sz w:val="21"/>
          <w:szCs w:val="21"/>
        </w:rPr>
        <w:t>. Esse rigor garante que variações térmicas reais no ambiente de monitoramento não sejam confundidas com artefatos de medição.</w:t>
      </w:r>
    </w:p>
    <w:p>
      <w:pPr>
        <w:pStyle w:val="Normal"/>
        <w:spacing w:lineRule="auto" w:line="276" w:before="0" w:after="144"/>
        <w:jc w:val="center"/>
        <w:rPr/>
      </w:pPr>
      <w:r>
        <w:rPr/>
        <w:drawing>
          <wp:inline distT="0" distB="0" distL="0" distR="0">
            <wp:extent cx="2710180" cy="1628140"/>
            <wp:effectExtent l="0" t="0" r="0" b="0"/>
            <wp:docPr id="1" name="Imagem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180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 w:ascii="Arial" w:hAnsi="Arial"/>
          <w:sz w:val="21"/>
          <w:szCs w:val="21"/>
        </w:rPr>
        <w:t xml:space="preserve"> </w:t>
      </w:r>
      <w:r>
        <w:rPr/>
        <w:drawing>
          <wp:inline distT="0" distB="0" distL="0" distR="0">
            <wp:extent cx="2696845" cy="1619885"/>
            <wp:effectExtent l="0" t="0" r="0" b="0"/>
            <wp:docPr id="2" name="Imagem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84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144"/>
        <w:jc w:val="center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Figura 1</w:t>
      </w:r>
      <w:r>
        <w:rPr>
          <w:rFonts w:cs="Arial" w:ascii="Arial" w:hAnsi="Arial"/>
          <w:b/>
          <w:bCs/>
          <w:sz w:val="21"/>
          <w:szCs w:val="21"/>
        </w:rPr>
        <w:t xml:space="preserve">. </w:t>
      </w:r>
      <w:r>
        <w:rPr>
          <w:rFonts w:cs="Arial" w:ascii="Arial" w:hAnsi="Arial"/>
          <w:b w:val="false"/>
          <w:bCs w:val="false"/>
          <w:sz w:val="21"/>
          <w:szCs w:val="21"/>
        </w:rPr>
        <w:t xml:space="preserve">(a) Contribuição de incerteza e (b) Coeficiente de </w:t>
      </w:r>
      <w:r>
        <w:rPr>
          <w:rFonts w:cs="Arial" w:ascii="Arial" w:hAnsi="Arial"/>
          <w:b w:val="false"/>
          <w:bCs w:val="false"/>
          <w:i/>
          <w:sz w:val="21"/>
          <w:szCs w:val="21"/>
        </w:rPr>
        <w:t>Kessel.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b/>
          <w:b/>
          <w:bCs/>
          <w:sz w:val="21"/>
          <w:szCs w:val="21"/>
        </w:rPr>
      </w:pPr>
      <w:bookmarkStart w:id="0" w:name="_GoBack1"/>
      <w:bookmarkEnd w:id="0"/>
      <w:r>
        <w:rPr>
          <w:rFonts w:cs="Arial" w:ascii="Arial" w:hAnsi="Arial"/>
          <w:b/>
          <w:bCs/>
          <w:sz w:val="21"/>
          <w:szCs w:val="21"/>
        </w:rPr>
        <w:t>4. DISCUSSÃO E PERSPECTIVAS FUTURAS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A </w:t>
      </w:r>
      <w:r>
        <w:rPr>
          <w:rFonts w:cs="Arial" w:ascii="Arial" w:hAnsi="Arial"/>
          <w:sz w:val="21"/>
          <w:szCs w:val="21"/>
        </w:rPr>
        <w:t>p</w:t>
      </w:r>
      <w:r>
        <w:rPr>
          <w:rFonts w:cs="Arial" w:ascii="Arial" w:hAnsi="Arial"/>
          <w:sz w:val="21"/>
          <w:szCs w:val="21"/>
        </w:rPr>
        <w:t xml:space="preserve">adronização dos </w:t>
      </w:r>
      <w:r>
        <w:rPr>
          <w:rFonts w:cs="Arial" w:ascii="Arial" w:hAnsi="Arial"/>
          <w:sz w:val="21"/>
          <w:szCs w:val="21"/>
        </w:rPr>
        <w:t xml:space="preserve">procedimentos de calibração e </w:t>
      </w:r>
      <w:r>
        <w:rPr>
          <w:rFonts w:cs="Arial" w:ascii="Arial" w:hAnsi="Arial"/>
          <w:sz w:val="21"/>
          <w:szCs w:val="21"/>
        </w:rPr>
        <w:t>formatos de dados são desafios persistentes na metrologia ambiental. Iniciativas promovidas pela REMESP e pelo LNMA com o apoio da indústria (ACME Systems</w:t>
      </w:r>
      <w:r>
        <w:rPr>
          <w:rFonts w:cs="Arial" w:ascii="Arial" w:hAnsi="Arial"/>
          <w:sz w:val="21"/>
          <w:szCs w:val="21"/>
        </w:rPr>
        <w:t>)</w:t>
      </w:r>
      <w:r>
        <w:rPr>
          <w:rFonts w:cs="Arial" w:ascii="Arial" w:hAnsi="Arial"/>
          <w:sz w:val="21"/>
          <w:szCs w:val="21"/>
        </w:rPr>
        <w:t xml:space="preserve"> buscam integrar a metrologia legal e científica às demandas industriais e climáticas.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b/>
          <w:b/>
          <w:bCs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5. CONCLUSÕES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A rastreabilidade metrológica e a estimativa transparente de incertezas são indispensáveis para garantir a confiabilidade dos dados meteorológicos e ambientais.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b/>
          <w:b/>
          <w:bCs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AGRADECIMENTOS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Os autores agradecem à REMESP pelo apoio técnico, ao Laboratório Nacional de Metrologia Ambiental (LNMA) pelas facilidades analíticas concedidas e à ACME pelo entretenimento.</w:t>
      </w:r>
    </w:p>
    <w:p>
      <w:pPr>
        <w:pStyle w:val="Normal"/>
        <w:spacing w:lineRule="auto" w:line="276" w:before="0" w:after="144"/>
        <w:jc w:val="both"/>
        <w:rPr>
          <w:rFonts w:ascii="Arial" w:hAnsi="Arial" w:cs="Arial"/>
          <w:b/>
          <w:b/>
          <w:bCs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REFERÊNCIAS BIBLIOGRÁFICAS</w:t>
      </w:r>
    </w:p>
    <w:p>
      <w:pPr>
        <w:pStyle w:val="Normal"/>
        <w:spacing w:before="0" w:after="144"/>
        <w:contextualSpacing/>
        <w:jc w:val="both"/>
        <w:rPr>
          <w:rFonts w:ascii="Arial" w:hAnsi="Arial" w:cs="Arial"/>
          <w:sz w:val="17"/>
          <w:szCs w:val="17"/>
        </w:rPr>
      </w:pPr>
      <w:r>
        <w:rPr>
          <w:rFonts w:cs="Arial" w:ascii="Arial" w:hAnsi="Arial"/>
          <w:sz w:val="17"/>
          <w:szCs w:val="17"/>
        </w:rPr>
        <w:t xml:space="preserve">INMETRO. </w:t>
      </w:r>
      <w:r>
        <w:rPr>
          <w:rFonts w:cs="Arial" w:ascii="Arial" w:hAnsi="Arial"/>
          <w:b/>
          <w:iCs/>
          <w:sz w:val="17"/>
          <w:szCs w:val="17"/>
        </w:rPr>
        <w:t>O Sistema Internacional de Unidades (SI)</w:t>
      </w:r>
      <w:r>
        <w:rPr>
          <w:rFonts w:cs="Arial" w:ascii="Arial" w:hAnsi="Arial"/>
          <w:sz w:val="17"/>
          <w:szCs w:val="17"/>
        </w:rPr>
        <w:t>. 2. ed. da tradução luso-brasileira. Brasília, DF: Inmetro, 2025. Tradução de Grupo de Trabalho luso-brasileiro Inmetro e IPQ. Instituto Nacional de Metrologia, Qualidade e Tecnologia (Brasil), 2026.</w:t>
      </w:r>
    </w:p>
    <w:p>
      <w:pPr>
        <w:pStyle w:val="Normal"/>
        <w:spacing w:before="0" w:after="144"/>
        <w:contextualSpacing/>
        <w:jc w:val="both"/>
        <w:rPr/>
      </w:pPr>
      <w:r>
        <w:rPr>
          <w:rFonts w:cs="Arial" w:ascii="Arial" w:hAnsi="Arial"/>
          <w:sz w:val="17"/>
          <w:szCs w:val="17"/>
        </w:rPr>
        <w:t>INMETRO</w:t>
      </w:r>
      <w:r>
        <w:rPr>
          <w:rFonts w:cs="Arial" w:ascii="Arial" w:hAnsi="Arial"/>
          <w:b/>
          <w:sz w:val="17"/>
          <w:szCs w:val="17"/>
        </w:rPr>
        <w:t xml:space="preserve">. </w:t>
      </w:r>
      <w:r>
        <w:rPr>
          <w:rFonts w:cs="Arial" w:ascii="Arial" w:hAnsi="Arial"/>
          <w:b/>
          <w:i/>
          <w:iCs/>
          <w:sz w:val="17"/>
          <w:szCs w:val="17"/>
        </w:rPr>
        <w:t>Vocabulário Internacional de Metrologia</w:t>
      </w:r>
      <w:r>
        <w:rPr>
          <w:rFonts w:cs="Arial" w:ascii="Arial" w:hAnsi="Arial"/>
          <w:b/>
          <w:sz w:val="17"/>
          <w:szCs w:val="17"/>
        </w:rPr>
        <w:t>: conceitos fundamentais e gerais de termos associados (VIM 2012)</w:t>
      </w:r>
      <w:r>
        <w:rPr>
          <w:rFonts w:cs="Arial" w:ascii="Arial" w:hAnsi="Arial"/>
          <w:sz w:val="17"/>
          <w:szCs w:val="17"/>
        </w:rPr>
        <w:t>. Duque de Caxias, RJ: Instituto Nacional de Metrologia, Qualidade e Tecnologia (Brasil), 2012. 94 p.</w:t>
      </w:r>
    </w:p>
    <w:p>
      <w:pPr>
        <w:pStyle w:val="Normal"/>
        <w:spacing w:before="0" w:after="144"/>
        <w:contextualSpacing/>
        <w:jc w:val="both"/>
        <w:rPr/>
      </w:pPr>
      <w:r>
        <w:rPr>
          <w:rFonts w:cs="Arial" w:ascii="Arial" w:hAnsi="Arial"/>
          <w:sz w:val="17"/>
          <w:szCs w:val="17"/>
          <w:lang w:val="en-US"/>
        </w:rPr>
        <w:t xml:space="preserve">ABNT. </w:t>
      </w:r>
      <w:r>
        <w:rPr>
          <w:rFonts w:cs="Arial" w:ascii="Arial" w:hAnsi="Arial"/>
          <w:b/>
          <w:bCs/>
          <w:sz w:val="17"/>
          <w:szCs w:val="17"/>
          <w:lang w:val="en-US"/>
        </w:rPr>
        <w:t>ABNT NBR ISO/IEC 17025:2017.</w:t>
      </w:r>
      <w:r>
        <w:rPr>
          <w:rFonts w:cs="Arial" w:ascii="Arial" w:hAnsi="Arial"/>
          <w:sz w:val="17"/>
          <w:szCs w:val="17"/>
          <w:lang w:val="en-US"/>
        </w:rPr>
        <w:t xml:space="preserve"> </w:t>
      </w:r>
      <w:r>
        <w:rPr>
          <w:rFonts w:cs="Arial" w:ascii="Arial" w:hAnsi="Arial"/>
          <w:sz w:val="17"/>
          <w:szCs w:val="17"/>
        </w:rPr>
        <w:t>Requisitos gerais para a competência de laboratórios de ensaio e calibração. Rio de Janeiro: Associação Brasileira de Normas Técnicas, 2018.</w:t>
      </w:r>
    </w:p>
    <w:p>
      <w:pPr>
        <w:pStyle w:val="Normal"/>
        <w:spacing w:before="0" w:after="144"/>
        <w:contextualSpacing/>
        <w:jc w:val="both"/>
        <w:rPr/>
      </w:pPr>
      <w:r>
        <w:rPr>
          <w:rFonts w:cs="Arial" w:ascii="Arial" w:hAnsi="Arial"/>
          <w:sz w:val="17"/>
          <w:szCs w:val="17"/>
        </w:rPr>
        <w:t xml:space="preserve">BIPM; IEC; IFCC; ILAC; ISO; IUPAC; IUPAP; OIML. </w:t>
      </w:r>
      <w:r>
        <w:rPr>
          <w:rFonts w:cs="Arial" w:ascii="Arial" w:hAnsi="Arial"/>
          <w:b/>
          <w:bCs/>
          <w:sz w:val="17"/>
          <w:szCs w:val="17"/>
          <w:lang w:val="en-US"/>
        </w:rPr>
        <w:t>Evaluation of measurement data — Guide to the expression of uncertainty in measurement (GUM 1995 com revisões).</w:t>
      </w:r>
      <w:r>
        <w:rPr>
          <w:rFonts w:cs="Arial" w:ascii="Arial" w:hAnsi="Arial"/>
          <w:sz w:val="17"/>
          <w:szCs w:val="17"/>
          <w:lang w:val="en-US"/>
        </w:rPr>
        <w:t xml:space="preserve"> JCGM 100:2008. Sèvres: Joint Committee for Guides in Metrology, 2008.</w:t>
      </w:r>
    </w:p>
    <w:p>
      <w:pPr>
        <w:pStyle w:val="Normal"/>
        <w:spacing w:before="0" w:after="144"/>
        <w:contextualSpacing/>
        <w:jc w:val="both"/>
        <w:rPr/>
      </w:pPr>
      <w:r>
        <w:rPr>
          <w:rFonts w:cs="Arial" w:ascii="Arial" w:hAnsi="Arial"/>
          <w:sz w:val="17"/>
          <w:szCs w:val="17"/>
          <w:lang w:val="en-US"/>
        </w:rPr>
        <w:t xml:space="preserve">KEELING, C. D. Rewards and Penalties of Monitoring Atmospheric Carbon Dioxide. </w:t>
      </w:r>
      <w:r>
        <w:rPr>
          <w:rFonts w:cs="Arial" w:ascii="Arial" w:hAnsi="Arial"/>
          <w:b/>
          <w:bCs/>
          <w:sz w:val="17"/>
          <w:szCs w:val="17"/>
          <w:lang w:val="en-US"/>
        </w:rPr>
        <w:t>Annual Review of Energy and the Environment</w:t>
      </w:r>
      <w:r>
        <w:rPr>
          <w:rFonts w:cs="Arial" w:ascii="Arial" w:hAnsi="Arial"/>
          <w:sz w:val="17"/>
          <w:szCs w:val="17"/>
          <w:lang w:val="en-US"/>
        </w:rPr>
        <w:t>, v. 23, n. 1, p. 25-82, 1998.</w:t>
      </w:r>
    </w:p>
    <w:p>
      <w:pPr>
        <w:pStyle w:val="Normal"/>
        <w:spacing w:before="0" w:after="144"/>
        <w:contextualSpacing/>
        <w:jc w:val="both"/>
        <w:rPr/>
      </w:pPr>
      <w:r>
        <w:rPr>
          <w:rFonts w:cs="Arial" w:ascii="Arial" w:hAnsi="Arial"/>
          <w:sz w:val="17"/>
          <w:szCs w:val="17"/>
          <w:lang w:val="en-US"/>
        </w:rPr>
        <w:t xml:space="preserve">KELVIN, Lord (W. Thomson). On the Economy of the Environmental Line of Measurement. </w:t>
      </w:r>
      <w:r>
        <w:rPr>
          <w:rFonts w:cs="Arial" w:ascii="Arial" w:hAnsi="Arial"/>
          <w:b/>
          <w:bCs/>
          <w:sz w:val="17"/>
          <w:szCs w:val="17"/>
          <w:lang w:val="en-US"/>
        </w:rPr>
        <w:t>Philosophical Magazine</w:t>
      </w:r>
      <w:r>
        <w:rPr>
          <w:rFonts w:cs="Arial" w:ascii="Arial" w:hAnsi="Arial"/>
          <w:sz w:val="17"/>
          <w:szCs w:val="17"/>
          <w:lang w:val="en-US"/>
        </w:rPr>
        <w:t>, v. 4, p. 112-121, 1882.</w:t>
      </w:r>
    </w:p>
    <w:p>
      <w:pPr>
        <w:pStyle w:val="Normal"/>
        <w:spacing w:before="0" w:after="144"/>
        <w:contextualSpacing/>
        <w:jc w:val="both"/>
        <w:rPr/>
      </w:pPr>
      <w:r>
        <w:rPr>
          <w:rFonts w:cs="Arial" w:ascii="Arial" w:hAnsi="Arial"/>
          <w:sz w:val="17"/>
          <w:szCs w:val="17"/>
          <w:lang w:val="en-US"/>
        </w:rPr>
        <w:t xml:space="preserve">KESSEL, R.; KACKER, R.; BERGLUND, M. Coefficient of contribution to the combined standard uncertainty. </w:t>
      </w:r>
      <w:r>
        <w:rPr>
          <w:rFonts w:cs="Arial" w:ascii="Arial" w:hAnsi="Arial"/>
          <w:b/>
          <w:iCs/>
          <w:sz w:val="17"/>
          <w:szCs w:val="17"/>
        </w:rPr>
        <w:t>Metrologia</w:t>
      </w:r>
      <w:r>
        <w:rPr>
          <w:rFonts w:cs="Arial" w:ascii="Arial" w:hAnsi="Arial"/>
          <w:sz w:val="17"/>
          <w:szCs w:val="17"/>
        </w:rPr>
        <w:t>, vol. 43, n. 4, p. S189–S195, 2006.</w:t>
      </w:r>
    </w:p>
    <w:p>
      <w:pPr>
        <w:pStyle w:val="Normal"/>
        <w:spacing w:before="0" w:after="144"/>
        <w:contextualSpacing/>
        <w:jc w:val="both"/>
        <w:rPr/>
      </w:pPr>
      <w:r>
        <w:rPr>
          <w:rFonts w:cs="Arial" w:ascii="Arial" w:hAnsi="Arial"/>
          <w:sz w:val="17"/>
          <w:szCs w:val="17"/>
        </w:rPr>
        <w:t xml:space="preserve">REMESP. </w:t>
      </w:r>
      <w:r>
        <w:rPr>
          <w:rFonts w:cs="Arial" w:ascii="Arial" w:hAnsi="Arial"/>
          <w:b/>
          <w:bCs/>
          <w:sz w:val="17"/>
          <w:szCs w:val="17"/>
        </w:rPr>
        <w:t>Diretrizes para Acreditação de Laboratórios no Âmbito Ambiental.</w:t>
      </w:r>
      <w:r>
        <w:rPr>
          <w:rFonts w:cs="Arial" w:ascii="Arial" w:hAnsi="Arial"/>
          <w:sz w:val="17"/>
          <w:szCs w:val="17"/>
        </w:rPr>
        <w:t xml:space="preserve"> São Paulo: Rede de Metrologia do Estado de São Paulo, 2023.</w:t>
      </w:r>
    </w:p>
    <w:p>
      <w:pPr>
        <w:pStyle w:val="Normal"/>
        <w:spacing w:before="0" w:after="144"/>
        <w:contextualSpacing/>
        <w:jc w:val="both"/>
        <w:rPr/>
      </w:pPr>
      <w:r>
        <w:rPr>
          <w:rFonts w:cs="Arial" w:ascii="Arial" w:hAnsi="Arial"/>
          <w:sz w:val="17"/>
          <w:szCs w:val="17"/>
          <w:lang w:val="en-US"/>
        </w:rPr>
        <w:t xml:space="preserve">WMO. </w:t>
      </w:r>
      <w:r>
        <w:rPr>
          <w:rFonts w:cs="Arial" w:ascii="Arial" w:hAnsi="Arial"/>
          <w:b/>
          <w:bCs/>
          <w:sz w:val="17"/>
          <w:szCs w:val="17"/>
          <w:lang w:val="en-US"/>
        </w:rPr>
        <w:t>Guide to Instruments and Methods of Observation (WMO-No. 8).</w:t>
      </w:r>
      <w:r>
        <w:rPr>
          <w:rFonts w:cs="Arial" w:ascii="Arial" w:hAnsi="Arial"/>
          <w:sz w:val="17"/>
          <w:szCs w:val="17"/>
          <w:lang w:val="en-US"/>
        </w:rPr>
        <w:t xml:space="preserve"> Geneva: World Meteorological Organization, 2024.</w:t>
      </w:r>
    </w:p>
    <w:p>
      <w:pPr>
        <w:pStyle w:val="Normal"/>
        <w:spacing w:before="0" w:after="144"/>
        <w:jc w:val="both"/>
        <w:rPr>
          <w:rFonts w:ascii="Arial" w:hAnsi="Arial" w:cs="Arial"/>
          <w:sz w:val="17"/>
          <w:szCs w:val="17"/>
          <w:lang w:val="en-US"/>
        </w:rPr>
      </w:pPr>
      <w:r>
        <w:rPr>
          <w:rFonts w:cs="Arial" w:ascii="Arial" w:hAnsi="Arial"/>
          <w:sz w:val="17"/>
          <w:szCs w:val="17"/>
          <w:lang w:val="en-US"/>
        </w:rPr>
      </w:r>
    </w:p>
    <w:p>
      <w:pPr>
        <w:pStyle w:val="Normal"/>
        <w:spacing w:before="0" w:after="144"/>
        <w:jc w:val="both"/>
        <w:rPr>
          <w:rFonts w:ascii="Arial" w:hAnsi="Arial" w:cs="Arial"/>
          <w:sz w:val="17"/>
          <w:szCs w:val="17"/>
          <w:lang w:val="en-US"/>
        </w:rPr>
      </w:pPr>
      <w:r>
        <w:rPr>
          <w:rFonts w:cs="Arial" w:ascii="Arial" w:hAnsi="Arial"/>
          <w:sz w:val="17"/>
          <w:szCs w:val="17"/>
          <w:lang w:val="en-US"/>
        </w:rPr>
      </w:r>
    </w:p>
    <w:p>
      <w:pPr>
        <w:pStyle w:val="Normal"/>
        <w:spacing w:before="0" w:after="144"/>
        <w:jc w:val="both"/>
        <w:rPr>
          <w:rFonts w:ascii="Arial" w:hAnsi="Arial" w:cs="Arial"/>
          <w:sz w:val="17"/>
          <w:szCs w:val="17"/>
          <w:lang w:val="en-US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8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rsid w:val="00e369f6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369f6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369f6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369f6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369f6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369f6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369f6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369f6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369f6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e369f6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e369f6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e369f6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e369f6"/>
    <w:rPr>
      <w:rFonts w:eastAsia="" w:cs="" w:cstheme="majorBidi" w:eastAsiaTheme="majorEastAsia"/>
      <w:i/>
      <w:iCs/>
      <w:color w:val="0F4761" w:themeColor="accent1" w:themeShade="bf"/>
    </w:rPr>
  </w:style>
  <w:style w:type="character" w:styleId="Ttulo5Char" w:customStyle="1">
    <w:name w:val="Título 5 Char"/>
    <w:basedOn w:val="DefaultParagraphFont"/>
    <w:uiPriority w:val="9"/>
    <w:semiHidden/>
    <w:qFormat/>
    <w:rsid w:val="00e369f6"/>
    <w:rPr>
      <w:rFonts w:eastAsia="" w:cs="" w:cstheme="majorBidi" w:eastAsiaTheme="majorEastAsia"/>
      <w:color w:val="0F4761" w:themeColor="accent1" w:themeShade="bf"/>
    </w:rPr>
  </w:style>
  <w:style w:type="character" w:styleId="Ttulo6Char" w:customStyle="1">
    <w:name w:val="Título 6 Char"/>
    <w:basedOn w:val="DefaultParagraphFont"/>
    <w:uiPriority w:val="9"/>
    <w:semiHidden/>
    <w:qFormat/>
    <w:rsid w:val="00e369f6"/>
    <w:rPr>
      <w:rFonts w:eastAsia="" w:cs="" w:cstheme="majorBidi" w:eastAsiaTheme="majorEastAsia"/>
      <w:i/>
      <w:iCs/>
      <w:color w:val="595959" w:themeColor="text1" w:themeTint="a6"/>
    </w:rPr>
  </w:style>
  <w:style w:type="character" w:styleId="Ttulo7Char" w:customStyle="1">
    <w:name w:val="Título 7 Char"/>
    <w:basedOn w:val="DefaultParagraphFont"/>
    <w:uiPriority w:val="9"/>
    <w:semiHidden/>
    <w:qFormat/>
    <w:rsid w:val="00e369f6"/>
    <w:rPr>
      <w:rFonts w:eastAsia="" w:cs="" w:cstheme="majorBidi" w:eastAsiaTheme="majorEastAsia"/>
      <w:color w:val="595959" w:themeColor="text1" w:themeTint="a6"/>
    </w:rPr>
  </w:style>
  <w:style w:type="character" w:styleId="Ttulo8Char" w:customStyle="1">
    <w:name w:val="Título 8 Char"/>
    <w:basedOn w:val="DefaultParagraphFont"/>
    <w:uiPriority w:val="9"/>
    <w:semiHidden/>
    <w:qFormat/>
    <w:rsid w:val="00e369f6"/>
    <w:rPr>
      <w:rFonts w:eastAsia="" w:cs="" w:cstheme="majorBidi" w:eastAsiaTheme="majorEastAsia"/>
      <w:i/>
      <w:iCs/>
      <w:color w:val="272727" w:themeColor="text1" w:themeTint="d8"/>
    </w:rPr>
  </w:style>
  <w:style w:type="character" w:styleId="Ttulo9Char" w:customStyle="1">
    <w:name w:val="Título 9 Char"/>
    <w:basedOn w:val="DefaultParagraphFont"/>
    <w:uiPriority w:val="9"/>
    <w:semiHidden/>
    <w:qFormat/>
    <w:rsid w:val="00e369f6"/>
    <w:rPr>
      <w:rFonts w:eastAsia="" w:cs="" w:cstheme="majorBidi" w:eastAsiaTheme="majorEastAsia"/>
      <w:color w:val="272727" w:themeColor="text1" w:themeTint="d8"/>
    </w:rPr>
  </w:style>
  <w:style w:type="character" w:styleId="TtuloChar" w:customStyle="1">
    <w:name w:val="Título Char"/>
    <w:basedOn w:val="DefaultParagraphFont"/>
    <w:uiPriority w:val="10"/>
    <w:qFormat/>
    <w:rsid w:val="00e369f6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e369f6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e369f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369f6"/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e369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9f6"/>
    <w:rPr>
      <w:b/>
      <w:bCs/>
      <w:smallCaps/>
      <w:color w:val="0F4761" w:themeColor="accent1" w:themeShade="bf"/>
      <w:spacing w:val="5"/>
    </w:rPr>
  </w:style>
  <w:style w:type="character" w:styleId="LinkdaInternet">
    <w:name w:val="Link da Internet"/>
    <w:basedOn w:val="DefaultParagraphFont"/>
    <w:uiPriority w:val="99"/>
    <w:unhideWhenUsed/>
    <w:rsid w:val="00e369f6"/>
    <w:rPr>
      <w:color w:val="467886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e369f6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e556c0"/>
    <w:rPr/>
  </w:style>
  <w:style w:type="character" w:styleId="RodapChar" w:customStyle="1">
    <w:name w:val="Rodapé Char"/>
    <w:basedOn w:val="DefaultParagraphFont"/>
    <w:uiPriority w:val="99"/>
    <w:qFormat/>
    <w:rsid w:val="00e556c0"/>
    <w:rPr/>
  </w:style>
  <w:style w:type="character" w:styleId="PlaceholderText">
    <w:name w:val="Placeholder Text"/>
    <w:basedOn w:val="DefaultParagraphFont"/>
    <w:uiPriority w:val="99"/>
    <w:semiHidden/>
    <w:qFormat/>
    <w:rsid w:val="00963ddd"/>
    <w:rPr>
      <w:color w:val="666666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Ttulododocumento">
    <w:name w:val="Title"/>
    <w:basedOn w:val="Normal"/>
    <w:next w:val="Normal"/>
    <w:link w:val="TtuloChar"/>
    <w:uiPriority w:val="10"/>
    <w:qFormat/>
    <w:rsid w:val="00e369f6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369f6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e369f6"/>
    <w:pPr>
      <w:spacing w:before="160" w:after="8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9f6"/>
    <w:pPr>
      <w:spacing w:before="0" w:after="8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e369f6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e556c0"/>
    <w:pPr>
      <w:tabs>
        <w:tab w:val="clear" w:pos="708"/>
        <w:tab w:val="center" w:pos="4252" w:leader="none"/>
        <w:tab w:val="right" w:pos="8504" w:leader="none"/>
      </w:tabs>
      <w:spacing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e556c0"/>
    <w:pPr>
      <w:tabs>
        <w:tab w:val="clear" w:pos="708"/>
        <w:tab w:val="center" w:pos="4252" w:leader="none"/>
        <w:tab w:val="right" w:pos="8504" w:leader="none"/>
      </w:tabs>
      <w:spacing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291c9d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aSimples2">
    <w:name w:val="Plain Table 2"/>
    <w:basedOn w:val="Tabelanormal"/>
    <w:uiPriority w:val="42"/>
    <w:rsid w:val="00291c9d"/>
    <w:pPr>
      <w:spacing w:after="0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eeling@remesp.org.br" TargetMode="External"/><Relationship Id="rId3" Type="http://schemas.openxmlformats.org/officeDocument/2006/relationships/hyperlink" Target="mailto:arrhenius@lnma.gov.br" TargetMode="External"/><Relationship Id="rId4" Type="http://schemas.openxmlformats.org/officeDocument/2006/relationships/hyperlink" Target="mailto:coyote@acme.com" TargetMode="Externa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995DE-F09E-4178-8DDE-292D4EADC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Application>LibreOffice/7.3.7.2$Linux_X86_64 LibreOffice_project/30$Build-2</Application>
  <AppVersion>15.0000</AppVersion>
  <Pages>3</Pages>
  <Words>860</Words>
  <Characters>5056</Characters>
  <CharactersWithSpaces>5833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2026-08-17T19:59:00Z</dcterms:created>
  <dc:creator>Ped RoMiotto</dc:creator>
  <dc:description/>
  <dc:language>en-US</dc:language>
  <cp:lastModifiedBy/>
  <dcterms:modified xsi:type="dcterms:W3CDTF">2026-08-19T14:12:37Z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